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59" w:rsidRDefault="00567871">
      <w:pPr>
        <w:jc w:val="left"/>
        <w:rPr>
          <w:b/>
          <w:sz w:val="28"/>
          <w:szCs w:val="28"/>
        </w:rPr>
      </w:pPr>
      <w:r>
        <w:rPr>
          <w:rFonts w:asciiTheme="minorEastAsia" w:hAnsiTheme="minorEastAsia" w:hint="eastAsia"/>
          <w:b/>
          <w:color w:val="7F7F7F" w:themeColor="text1" w:themeTint="80"/>
          <w:sz w:val="28"/>
          <w:szCs w:val="28"/>
        </w:rPr>
        <w:t>■</w:t>
      </w:r>
      <w:r>
        <w:rPr>
          <w:rFonts w:cstheme="minorHAnsi"/>
          <w:b/>
          <w:color w:val="595959" w:themeColor="text1" w:themeTint="A6"/>
          <w:sz w:val="28"/>
          <w:szCs w:val="28"/>
        </w:rPr>
        <w:t>POLYMER ADDITIVES</w:t>
      </w:r>
    </w:p>
    <w:p w:rsidR="00876F59" w:rsidRDefault="00567871">
      <w:pPr>
        <w:jc w:val="left"/>
        <w:rPr>
          <w:b/>
          <w:sz w:val="36"/>
          <w:szCs w:val="36"/>
        </w:rPr>
      </w:pPr>
      <w:r>
        <w:rPr>
          <w:b/>
          <w:sz w:val="36"/>
          <w:szCs w:val="36"/>
        </w:rPr>
        <w:t>JADEWIN PI 819</w:t>
      </w:r>
    </w:p>
    <w:p w:rsidR="00876F59" w:rsidRDefault="00567871">
      <w:pPr>
        <w:jc w:val="left"/>
        <w:rPr>
          <w:b/>
          <w:sz w:val="36"/>
          <w:szCs w:val="36"/>
        </w:rPr>
      </w:pPr>
      <w:r>
        <w:rPr>
          <w:b/>
          <w:sz w:val="36"/>
          <w:szCs w:val="36"/>
        </w:rPr>
        <w:t>PHOTO INITIATOR</w:t>
      </w:r>
    </w:p>
    <w:p w:rsidR="00876F59" w:rsidRDefault="00876F59">
      <w:pPr>
        <w:pBdr>
          <w:bottom w:val="thinThickSmallGap" w:sz="24" w:space="1" w:color="7F7F7F" w:themeColor="text1" w:themeTint="80"/>
        </w:pBdr>
        <w:rPr>
          <w:sz w:val="10"/>
          <w:szCs w:val="10"/>
        </w:rPr>
      </w:pPr>
    </w:p>
    <w:p w:rsidR="00876F59" w:rsidRDefault="00876F59">
      <w:pPr>
        <w:rPr>
          <w:sz w:val="24"/>
          <w:szCs w:val="24"/>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8221"/>
      </w:tblGrid>
      <w:tr w:rsidR="00876F59">
        <w:trPr>
          <w:trHeight w:val="454"/>
        </w:trPr>
        <w:tc>
          <w:tcPr>
            <w:tcW w:w="10314" w:type="dxa"/>
            <w:gridSpan w:val="2"/>
            <w:shd w:val="clear" w:color="auto" w:fill="C5E0B3" w:themeFill="accent6" w:themeFillTint="66"/>
          </w:tcPr>
          <w:p w:rsidR="00876F59" w:rsidRDefault="00567871">
            <w:pPr>
              <w:rPr>
                <w:b/>
                <w:sz w:val="24"/>
                <w:szCs w:val="24"/>
              </w:rPr>
            </w:pPr>
            <w:r>
              <w:rPr>
                <w:rFonts w:hint="eastAsia"/>
                <w:b/>
                <w:sz w:val="24"/>
                <w:szCs w:val="24"/>
              </w:rPr>
              <w:t>CHEMICAL COMPONENT</w:t>
            </w:r>
          </w:p>
        </w:tc>
      </w:tr>
      <w:tr w:rsidR="00876F59">
        <w:trPr>
          <w:trHeight w:val="454"/>
        </w:trPr>
        <w:tc>
          <w:tcPr>
            <w:tcW w:w="2093" w:type="dxa"/>
          </w:tcPr>
          <w:p w:rsidR="00876F59" w:rsidRDefault="00567871">
            <w:pPr>
              <w:rPr>
                <w:sz w:val="24"/>
                <w:szCs w:val="24"/>
              </w:rPr>
            </w:pPr>
            <w:r>
              <w:rPr>
                <w:sz w:val="24"/>
                <w:szCs w:val="24"/>
              </w:rPr>
              <w:t>COMPONENT</w:t>
            </w:r>
          </w:p>
        </w:tc>
        <w:tc>
          <w:tcPr>
            <w:tcW w:w="8221" w:type="dxa"/>
          </w:tcPr>
          <w:p w:rsidR="00876F59" w:rsidRDefault="00567871">
            <w:pPr>
              <w:pStyle w:val="Default"/>
              <w:rPr>
                <w:sz w:val="18"/>
                <w:szCs w:val="18"/>
              </w:rPr>
            </w:pPr>
            <w:r>
              <w:rPr>
                <w:rFonts w:asciiTheme="minorHAnsi" w:hAnsiTheme="minorHAnsi" w:cstheme="minorBidi"/>
                <w:color w:val="auto"/>
                <w:kern w:val="2"/>
              </w:rPr>
              <w:t>Bis(2,4,6-trimethylbenzoyl)-phenylphosphineoxide</w:t>
            </w:r>
          </w:p>
        </w:tc>
      </w:tr>
      <w:tr w:rsidR="00876F59">
        <w:trPr>
          <w:trHeight w:val="454"/>
        </w:trPr>
        <w:tc>
          <w:tcPr>
            <w:tcW w:w="2093" w:type="dxa"/>
          </w:tcPr>
          <w:p w:rsidR="00876F59" w:rsidRDefault="00567871">
            <w:pPr>
              <w:rPr>
                <w:sz w:val="24"/>
                <w:szCs w:val="24"/>
              </w:rPr>
            </w:pPr>
            <w:bookmarkStart w:id="0" w:name="_Hlk447445090"/>
            <w:r>
              <w:rPr>
                <w:sz w:val="24"/>
                <w:szCs w:val="24"/>
              </w:rPr>
              <w:t xml:space="preserve">CAS </w:t>
            </w:r>
          </w:p>
        </w:tc>
        <w:tc>
          <w:tcPr>
            <w:tcW w:w="8221" w:type="dxa"/>
          </w:tcPr>
          <w:p w:rsidR="00876F59" w:rsidRDefault="00567871">
            <w:pPr>
              <w:rPr>
                <w:sz w:val="24"/>
                <w:szCs w:val="24"/>
              </w:rPr>
            </w:pPr>
            <w:r>
              <w:rPr>
                <w:sz w:val="24"/>
                <w:szCs w:val="24"/>
              </w:rPr>
              <w:t>162881-26-7</w:t>
            </w:r>
          </w:p>
        </w:tc>
      </w:tr>
      <w:tr w:rsidR="00876F59">
        <w:trPr>
          <w:trHeight w:val="454"/>
        </w:trPr>
        <w:tc>
          <w:tcPr>
            <w:tcW w:w="2093" w:type="dxa"/>
          </w:tcPr>
          <w:p w:rsidR="00876F59" w:rsidRDefault="00567871">
            <w:pPr>
              <w:rPr>
                <w:sz w:val="24"/>
                <w:szCs w:val="24"/>
              </w:rPr>
            </w:pPr>
            <w:r>
              <w:rPr>
                <w:sz w:val="24"/>
                <w:szCs w:val="24"/>
              </w:rPr>
              <w:t>Molecular</w:t>
            </w:r>
          </w:p>
        </w:tc>
        <w:tc>
          <w:tcPr>
            <w:tcW w:w="8221" w:type="dxa"/>
          </w:tcPr>
          <w:p w:rsidR="00876F59" w:rsidRDefault="00567871">
            <w:pPr>
              <w:rPr>
                <w:sz w:val="24"/>
                <w:szCs w:val="24"/>
              </w:rPr>
            </w:pPr>
            <w:r>
              <w:rPr>
                <w:sz w:val="24"/>
                <w:szCs w:val="24"/>
              </w:rPr>
              <w:t>C26H27O3P</w:t>
            </w:r>
          </w:p>
        </w:tc>
      </w:tr>
      <w:tr w:rsidR="00876F59">
        <w:trPr>
          <w:trHeight w:val="454"/>
        </w:trPr>
        <w:tc>
          <w:tcPr>
            <w:tcW w:w="2093" w:type="dxa"/>
          </w:tcPr>
          <w:p w:rsidR="00876F59" w:rsidRDefault="00567871">
            <w:pPr>
              <w:rPr>
                <w:sz w:val="24"/>
                <w:szCs w:val="24"/>
              </w:rPr>
            </w:pPr>
            <w:r>
              <w:rPr>
                <w:rFonts w:hint="eastAsia"/>
                <w:sz w:val="24"/>
                <w:szCs w:val="24"/>
              </w:rPr>
              <w:t>M</w:t>
            </w:r>
            <w:r>
              <w:rPr>
                <w:sz w:val="24"/>
                <w:szCs w:val="24"/>
              </w:rPr>
              <w:t>.W</w:t>
            </w:r>
          </w:p>
        </w:tc>
        <w:tc>
          <w:tcPr>
            <w:tcW w:w="8221" w:type="dxa"/>
          </w:tcPr>
          <w:p w:rsidR="00876F59" w:rsidRDefault="00567871">
            <w:pPr>
              <w:rPr>
                <w:sz w:val="24"/>
                <w:szCs w:val="24"/>
              </w:rPr>
            </w:pPr>
            <w:r>
              <w:rPr>
                <w:sz w:val="24"/>
                <w:szCs w:val="24"/>
              </w:rPr>
              <w:t>418.5</w:t>
            </w:r>
          </w:p>
        </w:tc>
      </w:tr>
      <w:tr w:rsidR="00876F59">
        <w:trPr>
          <w:trHeight w:val="454"/>
        </w:trPr>
        <w:tc>
          <w:tcPr>
            <w:tcW w:w="2093" w:type="dxa"/>
          </w:tcPr>
          <w:p w:rsidR="00876F59" w:rsidRDefault="00876F59">
            <w:pPr>
              <w:rPr>
                <w:sz w:val="24"/>
                <w:szCs w:val="24"/>
              </w:rPr>
            </w:pPr>
          </w:p>
        </w:tc>
        <w:tc>
          <w:tcPr>
            <w:tcW w:w="8221" w:type="dxa"/>
          </w:tcPr>
          <w:p w:rsidR="00876F59" w:rsidRDefault="00567871">
            <w:pPr>
              <w:rPr>
                <w:sz w:val="24"/>
                <w:szCs w:val="24"/>
              </w:rPr>
            </w:pPr>
            <w:r>
              <w:rPr>
                <w:noProof/>
              </w:rPr>
              <w:drawing>
                <wp:inline distT="0" distB="0" distL="0" distR="0">
                  <wp:extent cx="2705100" cy="11906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705100" cy="1190625"/>
                          </a:xfrm>
                          <a:prstGeom prst="rect">
                            <a:avLst/>
                          </a:prstGeom>
                        </pic:spPr>
                      </pic:pic>
                    </a:graphicData>
                  </a:graphic>
                </wp:inline>
              </w:drawing>
            </w:r>
          </w:p>
        </w:tc>
      </w:tr>
      <w:bookmarkEnd w:id="0"/>
    </w:tbl>
    <w:p w:rsidR="00876F59" w:rsidRDefault="00876F59">
      <w:pPr>
        <w:rPr>
          <w:sz w:val="24"/>
          <w:szCs w:val="24"/>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876F59">
        <w:trPr>
          <w:trHeight w:val="454"/>
        </w:trPr>
        <w:tc>
          <w:tcPr>
            <w:tcW w:w="10314" w:type="dxa"/>
            <w:shd w:val="clear" w:color="auto" w:fill="C5E0B3" w:themeFill="accent6" w:themeFillTint="66"/>
          </w:tcPr>
          <w:p w:rsidR="00876F59" w:rsidRDefault="00567871">
            <w:pPr>
              <w:rPr>
                <w:b/>
                <w:sz w:val="24"/>
                <w:szCs w:val="24"/>
              </w:rPr>
            </w:pPr>
            <w:r>
              <w:rPr>
                <w:b/>
                <w:sz w:val="24"/>
                <w:szCs w:val="24"/>
              </w:rPr>
              <w:t>SPECIFICATION AND PHYSICAL PROPERTIES</w:t>
            </w:r>
          </w:p>
        </w:tc>
      </w:tr>
      <w:tr w:rsidR="00876F59">
        <w:trPr>
          <w:trHeight w:val="454"/>
        </w:trPr>
        <w:tc>
          <w:tcPr>
            <w:tcW w:w="10314" w:type="dxa"/>
            <w:shd w:val="clear" w:color="auto" w:fill="auto"/>
          </w:tcPr>
          <w:tbl>
            <w:tblPr>
              <w:tblStyle w:val="a6"/>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412"/>
              <w:gridCol w:w="4536"/>
            </w:tblGrid>
            <w:tr w:rsidR="00876F59">
              <w:tc>
                <w:tcPr>
                  <w:tcW w:w="2694" w:type="dxa"/>
                </w:tcPr>
                <w:p w:rsidR="00876F59" w:rsidRDefault="00567871">
                  <w:pPr>
                    <w:rPr>
                      <w:sz w:val="24"/>
                      <w:szCs w:val="24"/>
                    </w:rPr>
                  </w:pPr>
                  <w:r>
                    <w:rPr>
                      <w:sz w:val="24"/>
                      <w:szCs w:val="24"/>
                    </w:rPr>
                    <w:t>TEST</w:t>
                  </w:r>
                </w:p>
              </w:tc>
              <w:tc>
                <w:tcPr>
                  <w:tcW w:w="1412" w:type="dxa"/>
                </w:tcPr>
                <w:p w:rsidR="00876F59" w:rsidRDefault="00567871">
                  <w:pPr>
                    <w:rPr>
                      <w:sz w:val="24"/>
                      <w:szCs w:val="24"/>
                    </w:rPr>
                  </w:pPr>
                  <w:r>
                    <w:rPr>
                      <w:rFonts w:hint="eastAsia"/>
                      <w:sz w:val="24"/>
                      <w:szCs w:val="24"/>
                    </w:rPr>
                    <w:t>U</w:t>
                  </w:r>
                  <w:r>
                    <w:rPr>
                      <w:sz w:val="24"/>
                      <w:szCs w:val="24"/>
                    </w:rPr>
                    <w:t>NIT</w:t>
                  </w:r>
                </w:p>
              </w:tc>
              <w:tc>
                <w:tcPr>
                  <w:tcW w:w="4536" w:type="dxa"/>
                </w:tcPr>
                <w:p w:rsidR="00876F59" w:rsidRDefault="00567871">
                  <w:pPr>
                    <w:rPr>
                      <w:sz w:val="24"/>
                      <w:szCs w:val="24"/>
                    </w:rPr>
                  </w:pPr>
                  <w:r>
                    <w:rPr>
                      <w:sz w:val="24"/>
                      <w:szCs w:val="24"/>
                    </w:rPr>
                    <w:t>SPECIFICATION</w:t>
                  </w:r>
                </w:p>
              </w:tc>
            </w:tr>
            <w:tr w:rsidR="00876F59">
              <w:tc>
                <w:tcPr>
                  <w:tcW w:w="2694" w:type="dxa"/>
                </w:tcPr>
                <w:p w:rsidR="00876F59" w:rsidRDefault="00567871">
                  <w:pPr>
                    <w:rPr>
                      <w:sz w:val="24"/>
                      <w:szCs w:val="24"/>
                    </w:rPr>
                  </w:pPr>
                  <w:r>
                    <w:rPr>
                      <w:rFonts w:hint="eastAsia"/>
                      <w:sz w:val="24"/>
                      <w:szCs w:val="24"/>
                    </w:rPr>
                    <w:t>APPEARANCE</w:t>
                  </w:r>
                </w:p>
              </w:tc>
              <w:tc>
                <w:tcPr>
                  <w:tcW w:w="1412" w:type="dxa"/>
                </w:tcPr>
                <w:p w:rsidR="00876F59" w:rsidRDefault="00876F59">
                  <w:pPr>
                    <w:rPr>
                      <w:sz w:val="24"/>
                      <w:szCs w:val="24"/>
                    </w:rPr>
                  </w:pPr>
                </w:p>
              </w:tc>
              <w:tc>
                <w:tcPr>
                  <w:tcW w:w="4536" w:type="dxa"/>
                </w:tcPr>
                <w:p w:rsidR="00876F59" w:rsidRDefault="007B762A">
                  <w:pPr>
                    <w:rPr>
                      <w:sz w:val="24"/>
                      <w:szCs w:val="24"/>
                    </w:rPr>
                  </w:pPr>
                  <w:r w:rsidRPr="007B762A">
                    <w:rPr>
                      <w:sz w:val="24"/>
                      <w:szCs w:val="24"/>
                    </w:rPr>
                    <w:t>LIGHT YELLOW CRYSTALLINE POWDER</w:t>
                  </w:r>
                </w:p>
              </w:tc>
            </w:tr>
            <w:tr w:rsidR="00876F59">
              <w:tc>
                <w:tcPr>
                  <w:tcW w:w="2694" w:type="dxa"/>
                </w:tcPr>
                <w:p w:rsidR="00876F59" w:rsidRDefault="00567871">
                  <w:pPr>
                    <w:rPr>
                      <w:sz w:val="24"/>
                      <w:szCs w:val="24"/>
                    </w:rPr>
                  </w:pPr>
                  <w:r>
                    <w:rPr>
                      <w:rFonts w:hint="eastAsia"/>
                      <w:sz w:val="24"/>
                      <w:szCs w:val="24"/>
                    </w:rPr>
                    <w:t>MELTING POINT</w:t>
                  </w:r>
                </w:p>
              </w:tc>
              <w:tc>
                <w:tcPr>
                  <w:tcW w:w="1412" w:type="dxa"/>
                </w:tcPr>
                <w:p w:rsidR="00876F59" w:rsidRDefault="00567871">
                  <w:pPr>
                    <w:rPr>
                      <w:sz w:val="24"/>
                      <w:szCs w:val="24"/>
                    </w:rPr>
                  </w:pPr>
                  <w:r>
                    <w:rPr>
                      <w:rFonts w:hint="eastAsia"/>
                      <w:sz w:val="24"/>
                      <w:szCs w:val="24"/>
                    </w:rPr>
                    <w:t>℃</w:t>
                  </w:r>
                </w:p>
              </w:tc>
              <w:tc>
                <w:tcPr>
                  <w:tcW w:w="4536" w:type="dxa"/>
                </w:tcPr>
                <w:p w:rsidR="00876F59" w:rsidRDefault="00567871">
                  <w:pPr>
                    <w:rPr>
                      <w:sz w:val="24"/>
                      <w:szCs w:val="24"/>
                    </w:rPr>
                  </w:pPr>
                  <w:r>
                    <w:rPr>
                      <w:rFonts w:hint="eastAsia"/>
                      <w:sz w:val="24"/>
                      <w:szCs w:val="24"/>
                    </w:rPr>
                    <w:t>127.00-134.00</w:t>
                  </w:r>
                  <w:bookmarkStart w:id="1" w:name="_GoBack"/>
                  <w:bookmarkEnd w:id="1"/>
                </w:p>
              </w:tc>
            </w:tr>
            <w:tr w:rsidR="00876F59">
              <w:tc>
                <w:tcPr>
                  <w:tcW w:w="2694" w:type="dxa"/>
                </w:tcPr>
                <w:p w:rsidR="00876F59" w:rsidRDefault="00567871">
                  <w:pPr>
                    <w:rPr>
                      <w:sz w:val="24"/>
                      <w:szCs w:val="24"/>
                    </w:rPr>
                  </w:pPr>
                  <w:r>
                    <w:rPr>
                      <w:rFonts w:hint="eastAsia"/>
                      <w:sz w:val="24"/>
                      <w:szCs w:val="24"/>
                    </w:rPr>
                    <w:t>CLARITY</w:t>
                  </w:r>
                </w:p>
              </w:tc>
              <w:tc>
                <w:tcPr>
                  <w:tcW w:w="1412" w:type="dxa"/>
                </w:tcPr>
                <w:p w:rsidR="00876F59" w:rsidRDefault="00876F59">
                  <w:pPr>
                    <w:rPr>
                      <w:sz w:val="24"/>
                      <w:szCs w:val="24"/>
                    </w:rPr>
                  </w:pPr>
                </w:p>
              </w:tc>
              <w:tc>
                <w:tcPr>
                  <w:tcW w:w="4536" w:type="dxa"/>
                </w:tcPr>
                <w:p w:rsidR="00876F59" w:rsidRDefault="00567871">
                  <w:pPr>
                    <w:rPr>
                      <w:sz w:val="24"/>
                      <w:szCs w:val="24"/>
                    </w:rPr>
                  </w:pPr>
                  <w:r>
                    <w:rPr>
                      <w:rFonts w:hint="eastAsia"/>
                      <w:sz w:val="24"/>
                      <w:szCs w:val="24"/>
                    </w:rPr>
                    <w:t>CLEAR</w:t>
                  </w:r>
                </w:p>
              </w:tc>
            </w:tr>
            <w:tr w:rsidR="00876F59">
              <w:tc>
                <w:tcPr>
                  <w:tcW w:w="2694" w:type="dxa"/>
                </w:tcPr>
                <w:p w:rsidR="00876F59" w:rsidRDefault="00567871">
                  <w:pPr>
                    <w:rPr>
                      <w:sz w:val="24"/>
                      <w:szCs w:val="24"/>
                    </w:rPr>
                  </w:pPr>
                  <w:r>
                    <w:rPr>
                      <w:rFonts w:hint="eastAsia"/>
                      <w:sz w:val="24"/>
                      <w:szCs w:val="24"/>
                    </w:rPr>
                    <w:t>VOLATILE</w:t>
                  </w:r>
                  <w:r>
                    <w:rPr>
                      <w:sz w:val="24"/>
                      <w:szCs w:val="24"/>
                    </w:rPr>
                    <w:t>S</w:t>
                  </w:r>
                </w:p>
              </w:tc>
              <w:tc>
                <w:tcPr>
                  <w:tcW w:w="1412" w:type="dxa"/>
                </w:tcPr>
                <w:p w:rsidR="00876F59" w:rsidRDefault="00567871">
                  <w:pPr>
                    <w:rPr>
                      <w:sz w:val="24"/>
                      <w:szCs w:val="24"/>
                    </w:rPr>
                  </w:pPr>
                  <w:r>
                    <w:rPr>
                      <w:sz w:val="24"/>
                      <w:szCs w:val="24"/>
                    </w:rPr>
                    <w:t>%</w:t>
                  </w:r>
                </w:p>
              </w:tc>
              <w:tc>
                <w:tcPr>
                  <w:tcW w:w="4536" w:type="dxa"/>
                </w:tcPr>
                <w:p w:rsidR="00876F59" w:rsidRDefault="00567871">
                  <w:pPr>
                    <w:rPr>
                      <w:sz w:val="24"/>
                      <w:szCs w:val="24"/>
                    </w:rPr>
                  </w:pPr>
                  <w:r>
                    <w:rPr>
                      <w:sz w:val="24"/>
                      <w:szCs w:val="24"/>
                    </w:rPr>
                    <w:t>0.30MAX</w:t>
                  </w:r>
                </w:p>
              </w:tc>
            </w:tr>
            <w:tr w:rsidR="00876F59">
              <w:tc>
                <w:tcPr>
                  <w:tcW w:w="2694" w:type="dxa"/>
                </w:tcPr>
                <w:p w:rsidR="00876F59" w:rsidRDefault="00567871">
                  <w:pPr>
                    <w:rPr>
                      <w:sz w:val="24"/>
                      <w:szCs w:val="24"/>
                    </w:rPr>
                  </w:pPr>
                  <w:r>
                    <w:rPr>
                      <w:rFonts w:hint="eastAsia"/>
                      <w:sz w:val="24"/>
                      <w:szCs w:val="24"/>
                    </w:rPr>
                    <w:t>ASSAY</w:t>
                  </w:r>
                </w:p>
              </w:tc>
              <w:tc>
                <w:tcPr>
                  <w:tcW w:w="1412" w:type="dxa"/>
                </w:tcPr>
                <w:p w:rsidR="00876F59" w:rsidRDefault="00567871">
                  <w:pPr>
                    <w:rPr>
                      <w:sz w:val="24"/>
                      <w:szCs w:val="24"/>
                    </w:rPr>
                  </w:pPr>
                  <w:r>
                    <w:rPr>
                      <w:sz w:val="24"/>
                      <w:szCs w:val="24"/>
                    </w:rPr>
                    <w:t>%</w:t>
                  </w:r>
                </w:p>
              </w:tc>
              <w:tc>
                <w:tcPr>
                  <w:tcW w:w="4536" w:type="dxa"/>
                </w:tcPr>
                <w:p w:rsidR="00876F59" w:rsidRDefault="00567871">
                  <w:pPr>
                    <w:rPr>
                      <w:sz w:val="24"/>
                      <w:szCs w:val="24"/>
                    </w:rPr>
                  </w:pPr>
                  <w:r>
                    <w:rPr>
                      <w:sz w:val="24"/>
                      <w:szCs w:val="24"/>
                    </w:rPr>
                    <w:t>9</w:t>
                  </w:r>
                  <w:r>
                    <w:rPr>
                      <w:rFonts w:hint="eastAsia"/>
                      <w:sz w:val="24"/>
                      <w:szCs w:val="24"/>
                    </w:rPr>
                    <w:t>8</w:t>
                  </w:r>
                  <w:r>
                    <w:rPr>
                      <w:sz w:val="24"/>
                      <w:szCs w:val="24"/>
                    </w:rPr>
                    <w:t>.00MIN</w:t>
                  </w:r>
                </w:p>
              </w:tc>
            </w:tr>
          </w:tbl>
          <w:p w:rsidR="00876F59" w:rsidRDefault="00876F59">
            <w:pPr>
              <w:rPr>
                <w:b/>
                <w:sz w:val="24"/>
                <w:szCs w:val="24"/>
              </w:rPr>
            </w:pPr>
          </w:p>
        </w:tc>
      </w:tr>
      <w:tr w:rsidR="00876F59">
        <w:trPr>
          <w:trHeight w:val="454"/>
        </w:trPr>
        <w:tc>
          <w:tcPr>
            <w:tcW w:w="10314" w:type="dxa"/>
            <w:shd w:val="clear" w:color="auto" w:fill="auto"/>
          </w:tcPr>
          <w:p w:rsidR="00876F59" w:rsidRDefault="00876F59">
            <w:pPr>
              <w:rPr>
                <w:b/>
                <w:sz w:val="24"/>
                <w:szCs w:val="24"/>
              </w:rPr>
            </w:pPr>
          </w:p>
        </w:tc>
      </w:tr>
      <w:tr w:rsidR="00876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314" w:type="dxa"/>
            <w:tcBorders>
              <w:top w:val="nil"/>
              <w:left w:val="nil"/>
              <w:bottom w:val="nil"/>
              <w:right w:val="nil"/>
            </w:tcBorders>
            <w:shd w:val="clear" w:color="auto" w:fill="C5E0B3" w:themeFill="accent6" w:themeFillTint="66"/>
          </w:tcPr>
          <w:p w:rsidR="00876F59" w:rsidRDefault="00567871">
            <w:pPr>
              <w:rPr>
                <w:b/>
                <w:sz w:val="24"/>
                <w:szCs w:val="24"/>
              </w:rPr>
            </w:pPr>
            <w:r>
              <w:rPr>
                <w:b/>
                <w:sz w:val="24"/>
                <w:szCs w:val="24"/>
              </w:rPr>
              <w:t>FEATURE AND APPLICATION</w:t>
            </w:r>
          </w:p>
        </w:tc>
      </w:tr>
      <w:tr w:rsidR="00876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314" w:type="dxa"/>
            <w:tcBorders>
              <w:top w:val="nil"/>
              <w:left w:val="nil"/>
              <w:bottom w:val="nil"/>
              <w:right w:val="nil"/>
            </w:tcBorders>
            <w:shd w:val="clear" w:color="auto" w:fill="auto"/>
          </w:tcPr>
          <w:p w:rsidR="00876F59" w:rsidRDefault="00567871">
            <w:pPr>
              <w:pStyle w:val="Default"/>
              <w:rPr>
                <w:rFonts w:asciiTheme="minorHAnsi" w:hAnsiTheme="minorHAnsi" w:cstheme="minorBidi"/>
                <w:color w:val="auto"/>
                <w:kern w:val="2"/>
              </w:rPr>
            </w:pPr>
            <w:r>
              <w:rPr>
                <w:rFonts w:asciiTheme="minorHAnsi" w:hAnsiTheme="minorHAnsi" w:cstheme="minorBidi"/>
                <w:color w:val="auto"/>
                <w:kern w:val="2"/>
              </w:rPr>
              <w:t>* JADEWIN PI 819 is a versatile photoinitiator for radical polymerisation of unsaturated resins upon UV light exposure. It is especially suited for white pigmented formulations, the curing of glass fiber reinforced polyester/styrene systems and for clearcoats. Thick section curing is also possible with</w:t>
            </w:r>
            <w:r>
              <w:t xml:space="preserve"> </w:t>
            </w:r>
            <w:r>
              <w:rPr>
                <w:rFonts w:asciiTheme="minorHAnsi" w:hAnsiTheme="minorHAnsi" w:cstheme="minorBidi"/>
                <w:color w:val="auto"/>
                <w:kern w:val="2"/>
              </w:rPr>
              <w:t xml:space="preserve">JADEWIN PI 819. </w:t>
            </w:r>
            <w:r>
              <w:rPr>
                <w:rFonts w:asciiTheme="minorHAnsi" w:hAnsiTheme="minorHAnsi" w:cstheme="minorBidi"/>
                <w:color w:val="auto"/>
                <w:kern w:val="2"/>
              </w:rPr>
              <w:cr/>
            </w:r>
            <w:bookmarkStart w:id="2" w:name="OLE_LINK6"/>
            <w:bookmarkStart w:id="3" w:name="OLE_LINK5"/>
            <w:r>
              <w:rPr>
                <w:rFonts w:asciiTheme="minorHAnsi" w:hAnsiTheme="minorHAnsi" w:cstheme="minorBidi"/>
                <w:color w:val="auto"/>
                <w:kern w:val="2"/>
              </w:rPr>
              <w:t>* JADEWIN PI 819</w:t>
            </w:r>
            <w:bookmarkEnd w:id="2"/>
            <w:bookmarkEnd w:id="3"/>
            <w:r>
              <w:rPr>
                <w:rFonts w:asciiTheme="minorHAnsi" w:hAnsiTheme="minorHAnsi" w:cstheme="minorBidi"/>
                <w:color w:val="auto"/>
                <w:kern w:val="2"/>
              </w:rPr>
              <w:t xml:space="preserve"> may be used in UV curable formulations for clear and for pigmented coatings on wood, metal, plastic, paper and optical fibers as well as for printing inks and prepregs. </w:t>
            </w:r>
          </w:p>
          <w:p w:rsidR="00876F59" w:rsidRDefault="00567871">
            <w:pPr>
              <w:pStyle w:val="Default"/>
              <w:rPr>
                <w:rFonts w:asciiTheme="minorHAnsi" w:hAnsiTheme="minorHAnsi" w:cstheme="minorBidi"/>
                <w:color w:val="auto"/>
                <w:kern w:val="2"/>
              </w:rPr>
            </w:pPr>
            <w:r>
              <w:rPr>
                <w:rFonts w:asciiTheme="minorHAnsi" w:hAnsiTheme="minorHAnsi" w:cstheme="minorBidi"/>
                <w:color w:val="auto"/>
                <w:kern w:val="2"/>
              </w:rPr>
              <w:t xml:space="preserve">* JADEWIN PI 819 exhibits at low concentrations an outstanding curing performance in highly opaque white and colored furniture coatings or screen inks containing rutile titanium dioxide or colored </w:t>
            </w:r>
            <w:r>
              <w:rPr>
                <w:rFonts w:asciiTheme="minorHAnsi" w:hAnsiTheme="minorHAnsi" w:cstheme="minorBidi"/>
                <w:color w:val="auto"/>
                <w:kern w:val="2"/>
              </w:rPr>
              <w:lastRenderedPageBreak/>
              <w:t>pigments.</w:t>
            </w:r>
            <w:r>
              <w:rPr>
                <w:rFonts w:asciiTheme="minorHAnsi" w:hAnsiTheme="minorHAnsi" w:cstheme="minorBidi"/>
                <w:color w:val="auto"/>
                <w:kern w:val="2"/>
              </w:rPr>
              <w:cr/>
              <w:t xml:space="preserve">* JADEWIN PI 819 is photosensitive at longer wavelengths above 400nm, that make it suitable for thick section and JADEWIN PI 819 can easily be used in combinations with UV absorbers, to reduce yellowing of urethane acrylate systems for outdoor applications, directly exposed to sunlight </w:t>
            </w:r>
          </w:p>
          <w:p w:rsidR="00876F59" w:rsidRDefault="00567871">
            <w:pPr>
              <w:pStyle w:val="Default"/>
              <w:jc w:val="both"/>
              <w:rPr>
                <w:rFonts w:asciiTheme="minorHAnsi" w:hAnsiTheme="minorHAnsi" w:cstheme="minorBidi"/>
                <w:color w:val="auto"/>
                <w:kern w:val="2"/>
              </w:rPr>
            </w:pPr>
            <w:r>
              <w:rPr>
                <w:rFonts w:asciiTheme="minorHAnsi" w:hAnsiTheme="minorHAnsi" w:cstheme="minorBidi"/>
                <w:color w:val="auto"/>
                <w:kern w:val="2"/>
              </w:rPr>
              <w:t xml:space="preserve">* For additional information please consult the Material safety Data Sheet </w:t>
            </w:r>
          </w:p>
          <w:p w:rsidR="00876F59" w:rsidRDefault="00876F59">
            <w:pPr>
              <w:rPr>
                <w:b/>
                <w:sz w:val="24"/>
                <w:szCs w:val="24"/>
              </w:rPr>
            </w:pPr>
          </w:p>
        </w:tc>
      </w:tr>
      <w:tr w:rsidR="00876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314" w:type="dxa"/>
            <w:tcBorders>
              <w:top w:val="nil"/>
              <w:left w:val="nil"/>
              <w:bottom w:val="nil"/>
              <w:right w:val="nil"/>
            </w:tcBorders>
            <w:shd w:val="clear" w:color="auto" w:fill="C5E0B3" w:themeFill="accent6" w:themeFillTint="66"/>
          </w:tcPr>
          <w:p w:rsidR="00876F59" w:rsidRDefault="00567871">
            <w:pPr>
              <w:rPr>
                <w:b/>
                <w:sz w:val="24"/>
                <w:szCs w:val="24"/>
              </w:rPr>
            </w:pPr>
            <w:r>
              <w:rPr>
                <w:b/>
                <w:sz w:val="24"/>
                <w:szCs w:val="24"/>
              </w:rPr>
              <w:lastRenderedPageBreak/>
              <w:t>PACKING</w:t>
            </w:r>
          </w:p>
        </w:tc>
      </w:tr>
      <w:tr w:rsidR="00876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314" w:type="dxa"/>
            <w:tcBorders>
              <w:top w:val="nil"/>
              <w:left w:val="nil"/>
              <w:bottom w:val="nil"/>
              <w:right w:val="nil"/>
            </w:tcBorders>
          </w:tcPr>
          <w:p w:rsidR="00876F59" w:rsidRDefault="00567871">
            <w:pPr>
              <w:rPr>
                <w:b/>
                <w:sz w:val="24"/>
                <w:szCs w:val="24"/>
              </w:rPr>
            </w:pPr>
            <w:r>
              <w:t>25Kg Carton     500KG/Pallet</w:t>
            </w:r>
          </w:p>
        </w:tc>
      </w:tr>
    </w:tbl>
    <w:p w:rsidR="00876F59" w:rsidRDefault="00876F59">
      <w:pPr>
        <w:rPr>
          <w:sz w:val="24"/>
          <w:szCs w:val="24"/>
        </w:rPr>
      </w:pPr>
    </w:p>
    <w:tbl>
      <w:tblPr>
        <w:tblStyle w:val="a6"/>
        <w:tblW w:w="10314" w:type="dxa"/>
        <w:tblLayout w:type="fixed"/>
        <w:tblLook w:val="04A0" w:firstRow="1" w:lastRow="0" w:firstColumn="1" w:lastColumn="0" w:noHBand="0" w:noVBand="1"/>
      </w:tblPr>
      <w:tblGrid>
        <w:gridCol w:w="10314"/>
      </w:tblGrid>
      <w:tr w:rsidR="00876F59">
        <w:trPr>
          <w:trHeight w:val="454"/>
        </w:trPr>
        <w:tc>
          <w:tcPr>
            <w:tcW w:w="10314" w:type="dxa"/>
            <w:tcBorders>
              <w:top w:val="nil"/>
              <w:left w:val="nil"/>
              <w:bottom w:val="nil"/>
              <w:right w:val="nil"/>
            </w:tcBorders>
            <w:shd w:val="clear" w:color="auto" w:fill="C5E0B3" w:themeFill="accent6" w:themeFillTint="66"/>
          </w:tcPr>
          <w:p w:rsidR="00876F59" w:rsidRDefault="00567871">
            <w:pPr>
              <w:rPr>
                <w:b/>
                <w:sz w:val="24"/>
                <w:szCs w:val="24"/>
              </w:rPr>
            </w:pPr>
            <w:r>
              <w:rPr>
                <w:rFonts w:hint="eastAsia"/>
                <w:b/>
                <w:sz w:val="24"/>
                <w:szCs w:val="24"/>
              </w:rPr>
              <w:t>S</w:t>
            </w:r>
            <w:r>
              <w:rPr>
                <w:b/>
                <w:sz w:val="24"/>
                <w:szCs w:val="24"/>
              </w:rPr>
              <w:t>TORAGE</w:t>
            </w:r>
          </w:p>
        </w:tc>
      </w:tr>
      <w:tr w:rsidR="00876F59">
        <w:trPr>
          <w:trHeight w:val="454"/>
        </w:trPr>
        <w:tc>
          <w:tcPr>
            <w:tcW w:w="10314" w:type="dxa"/>
            <w:tcBorders>
              <w:top w:val="nil"/>
              <w:left w:val="nil"/>
              <w:bottom w:val="nil"/>
              <w:right w:val="nil"/>
            </w:tcBorders>
          </w:tcPr>
          <w:p w:rsidR="00876F59" w:rsidRDefault="00567871">
            <w:pPr>
              <w:rPr>
                <w:b/>
                <w:sz w:val="24"/>
                <w:szCs w:val="24"/>
              </w:rPr>
            </w:pPr>
            <w:r>
              <w:rPr>
                <w:sz w:val="24"/>
                <w:szCs w:val="24"/>
              </w:rPr>
              <w:t>Keep container tightly closed and dry and storage in cool place</w:t>
            </w:r>
          </w:p>
        </w:tc>
      </w:tr>
    </w:tbl>
    <w:p w:rsidR="00876F59" w:rsidRDefault="00876F59">
      <w:pPr>
        <w:rPr>
          <w:sz w:val="24"/>
          <w:szCs w:val="24"/>
        </w:rPr>
      </w:pPr>
    </w:p>
    <w:tbl>
      <w:tblPr>
        <w:tblStyle w:val="a6"/>
        <w:tblW w:w="10314" w:type="dxa"/>
        <w:tblLayout w:type="fixed"/>
        <w:tblLook w:val="04A0" w:firstRow="1" w:lastRow="0" w:firstColumn="1" w:lastColumn="0" w:noHBand="0" w:noVBand="1"/>
      </w:tblPr>
      <w:tblGrid>
        <w:gridCol w:w="10314"/>
      </w:tblGrid>
      <w:tr w:rsidR="00876F59">
        <w:trPr>
          <w:trHeight w:val="454"/>
        </w:trPr>
        <w:tc>
          <w:tcPr>
            <w:tcW w:w="10314" w:type="dxa"/>
            <w:tcBorders>
              <w:top w:val="nil"/>
              <w:left w:val="nil"/>
              <w:bottom w:val="nil"/>
              <w:right w:val="nil"/>
            </w:tcBorders>
            <w:shd w:val="clear" w:color="auto" w:fill="C5E0B3" w:themeFill="accent6" w:themeFillTint="66"/>
          </w:tcPr>
          <w:p w:rsidR="00876F59" w:rsidRDefault="00567871">
            <w:pPr>
              <w:rPr>
                <w:b/>
                <w:sz w:val="24"/>
                <w:szCs w:val="24"/>
              </w:rPr>
            </w:pPr>
            <w:r>
              <w:rPr>
                <w:rFonts w:hint="eastAsia"/>
                <w:b/>
                <w:sz w:val="24"/>
                <w:szCs w:val="24"/>
              </w:rPr>
              <w:t>CHEMICAL INVENT</w:t>
            </w:r>
            <w:r>
              <w:rPr>
                <w:b/>
                <w:sz w:val="24"/>
                <w:szCs w:val="24"/>
              </w:rPr>
              <w:t>ORIES</w:t>
            </w:r>
          </w:p>
        </w:tc>
      </w:tr>
      <w:tr w:rsidR="00876F59">
        <w:trPr>
          <w:trHeight w:val="454"/>
        </w:trPr>
        <w:tc>
          <w:tcPr>
            <w:tcW w:w="10314" w:type="dxa"/>
            <w:tcBorders>
              <w:top w:val="nil"/>
              <w:left w:val="nil"/>
              <w:bottom w:val="nil"/>
              <w:right w:val="nil"/>
            </w:tcBorders>
          </w:tcPr>
          <w:p w:rsidR="00876F59" w:rsidRDefault="00567871">
            <w:pPr>
              <w:rPr>
                <w:sz w:val="24"/>
                <w:szCs w:val="24"/>
              </w:rPr>
            </w:pPr>
            <w:r>
              <w:rPr>
                <w:sz w:val="24"/>
                <w:szCs w:val="24"/>
              </w:rPr>
              <w:t>Australia - AICS</w:t>
            </w:r>
          </w:p>
          <w:p w:rsidR="00876F59" w:rsidRDefault="00567871">
            <w:pPr>
              <w:rPr>
                <w:sz w:val="24"/>
                <w:szCs w:val="24"/>
              </w:rPr>
            </w:pPr>
            <w:r>
              <w:rPr>
                <w:sz w:val="24"/>
                <w:szCs w:val="24"/>
              </w:rPr>
              <w:t>Canada - DSL</w:t>
            </w:r>
          </w:p>
          <w:p w:rsidR="00876F59" w:rsidRDefault="00567871">
            <w:pPr>
              <w:rPr>
                <w:sz w:val="24"/>
                <w:szCs w:val="24"/>
              </w:rPr>
            </w:pPr>
            <w:r>
              <w:rPr>
                <w:sz w:val="24"/>
                <w:szCs w:val="24"/>
              </w:rPr>
              <w:t>EU - EINECS</w:t>
            </w:r>
          </w:p>
          <w:p w:rsidR="00876F59" w:rsidRDefault="00567871">
            <w:pPr>
              <w:rPr>
                <w:sz w:val="24"/>
                <w:szCs w:val="24"/>
              </w:rPr>
            </w:pPr>
            <w:r>
              <w:rPr>
                <w:sz w:val="24"/>
                <w:szCs w:val="24"/>
              </w:rPr>
              <w:t>China - IECSC</w:t>
            </w:r>
          </w:p>
          <w:p w:rsidR="00876F59" w:rsidRDefault="00567871">
            <w:pPr>
              <w:rPr>
                <w:sz w:val="24"/>
                <w:szCs w:val="24"/>
              </w:rPr>
            </w:pPr>
            <w:r>
              <w:rPr>
                <w:sz w:val="24"/>
                <w:szCs w:val="24"/>
              </w:rPr>
              <w:t>Japan - ENCS</w:t>
            </w:r>
          </w:p>
          <w:p w:rsidR="00876F59" w:rsidRDefault="00567871">
            <w:pPr>
              <w:rPr>
                <w:sz w:val="24"/>
                <w:szCs w:val="24"/>
              </w:rPr>
            </w:pPr>
            <w:r>
              <w:rPr>
                <w:sz w:val="24"/>
                <w:szCs w:val="24"/>
              </w:rPr>
              <w:t>New Zealand - NZIoC</w:t>
            </w:r>
          </w:p>
          <w:p w:rsidR="00876F59" w:rsidRDefault="00567871">
            <w:pPr>
              <w:rPr>
                <w:sz w:val="24"/>
                <w:szCs w:val="24"/>
              </w:rPr>
            </w:pPr>
            <w:r>
              <w:rPr>
                <w:sz w:val="24"/>
                <w:szCs w:val="24"/>
              </w:rPr>
              <w:t>Korea - ECL</w:t>
            </w:r>
          </w:p>
          <w:p w:rsidR="00876F59" w:rsidRDefault="00567871">
            <w:pPr>
              <w:rPr>
                <w:sz w:val="24"/>
                <w:szCs w:val="24"/>
              </w:rPr>
            </w:pPr>
            <w:r>
              <w:rPr>
                <w:sz w:val="24"/>
                <w:szCs w:val="24"/>
              </w:rPr>
              <w:t>USA - TSCA</w:t>
            </w:r>
          </w:p>
          <w:p w:rsidR="00876F59" w:rsidRDefault="00567871">
            <w:pPr>
              <w:rPr>
                <w:b/>
                <w:sz w:val="24"/>
                <w:szCs w:val="24"/>
              </w:rPr>
            </w:pPr>
            <w:r>
              <w:rPr>
                <w:sz w:val="24"/>
                <w:szCs w:val="24"/>
              </w:rPr>
              <w:t>Philippines - PICCS</w:t>
            </w:r>
          </w:p>
        </w:tc>
      </w:tr>
    </w:tbl>
    <w:p w:rsidR="00876F59" w:rsidRDefault="00876F59">
      <w:pPr>
        <w:rPr>
          <w:sz w:val="24"/>
          <w:szCs w:val="24"/>
        </w:rPr>
      </w:pPr>
    </w:p>
    <w:sectPr w:rsidR="00876F59">
      <w:headerReference w:type="default" r:id="rId10"/>
      <w:footerReference w:type="default" r:id="rId11"/>
      <w:pgSz w:w="11906" w:h="16838"/>
      <w:pgMar w:top="1440" w:right="851" w:bottom="1440" w:left="851" w:header="851" w:footer="992" w:gutter="0"/>
      <w:pgNumType w:start="1" w:chapSep="e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BF" w:rsidRDefault="00BC18BF">
      <w:r>
        <w:separator/>
      </w:r>
    </w:p>
  </w:endnote>
  <w:endnote w:type="continuationSeparator" w:id="0">
    <w:p w:rsidR="00BC18BF" w:rsidRDefault="00B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06437425"/>
    </w:sdtPr>
    <w:sdtEndPr/>
    <w:sdtContent>
      <w:sdt>
        <w:sdtPr>
          <w:rPr>
            <w:sz w:val="18"/>
            <w:szCs w:val="18"/>
          </w:rPr>
          <w:id w:val="-1705238520"/>
        </w:sdtPr>
        <w:sdtEndPr/>
        <w:sdtContent>
          <w:p w:rsidR="00876F59" w:rsidRDefault="00876F59">
            <w:pPr>
              <w:autoSpaceDE w:val="0"/>
              <w:autoSpaceDN w:val="0"/>
              <w:adjustRightInd w:val="0"/>
              <w:jc w:val="right"/>
              <w:rPr>
                <w:rFonts w:cstheme="minorHAnsi"/>
              </w:rPr>
            </w:pPr>
          </w:p>
          <w:p w:rsidR="00876F59" w:rsidRDefault="00567871">
            <w:pPr>
              <w:pStyle w:val="a4"/>
              <w:jc w:val="center"/>
            </w:pPr>
            <w:r>
              <w:rPr>
                <w:b/>
                <w:bCs/>
                <w:sz w:val="24"/>
                <w:szCs w:val="24"/>
              </w:rPr>
              <w:fldChar w:fldCharType="begin"/>
            </w:r>
            <w:r>
              <w:rPr>
                <w:b/>
                <w:bCs/>
              </w:rPr>
              <w:instrText>PAGE</w:instrText>
            </w:r>
            <w:r>
              <w:rPr>
                <w:b/>
                <w:bCs/>
                <w:sz w:val="24"/>
                <w:szCs w:val="24"/>
              </w:rPr>
              <w:fldChar w:fldCharType="separate"/>
            </w:r>
            <w:r w:rsidR="00BC18B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C18BF">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BF" w:rsidRDefault="00BC18BF">
      <w:r>
        <w:separator/>
      </w:r>
    </w:p>
  </w:footnote>
  <w:footnote w:type="continuationSeparator" w:id="0">
    <w:p w:rsidR="00BC18BF" w:rsidRDefault="00BC1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F59" w:rsidRDefault="00567871">
    <w:pPr>
      <w:jc w:val="right"/>
      <w:rPr>
        <w:rFonts w:ascii="Elephant" w:hAnsi="Elephant"/>
        <w:color w:val="000000" w:themeColor="text1"/>
        <w:sz w:val="24"/>
        <w:szCs w:val="24"/>
      </w:rPr>
    </w:pPr>
    <w:r>
      <w:rPr>
        <w:rFonts w:eastAsia="宋体" w:hint="eastAsia"/>
        <w:b/>
        <w:bCs/>
        <w:noProof/>
        <w:color w:val="000000"/>
        <w:szCs w:val="24"/>
      </w:rPr>
      <w:drawing>
        <wp:anchor distT="0" distB="0" distL="114300" distR="114300" simplePos="0" relativeHeight="251658240" behindDoc="1" locked="0" layoutInCell="1" allowOverlap="1">
          <wp:simplePos x="0" y="0"/>
          <wp:positionH relativeFrom="column">
            <wp:posOffset>58420</wp:posOffset>
          </wp:positionH>
          <wp:positionV relativeFrom="paragraph">
            <wp:posOffset>-171450</wp:posOffset>
          </wp:positionV>
          <wp:extent cx="560070" cy="993775"/>
          <wp:effectExtent l="0" t="0" r="11430" b="15875"/>
          <wp:wrapNone/>
          <wp:docPr id="1" name="图片 1" descr="JADEWIN公司logo带字带R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ADEWIN公司logo带字带R标"/>
                  <pic:cNvPicPr>
                    <a:picLocks noChangeAspect="1"/>
                  </pic:cNvPicPr>
                </pic:nvPicPr>
                <pic:blipFill>
                  <a:blip r:embed="rId1"/>
                  <a:stretch>
                    <a:fillRect/>
                  </a:stretch>
                </pic:blipFill>
                <pic:spPr>
                  <a:xfrm>
                    <a:off x="0" y="0"/>
                    <a:ext cx="560070" cy="993775"/>
                  </a:xfrm>
                  <a:prstGeom prst="rect">
                    <a:avLst/>
                  </a:prstGeom>
                </pic:spPr>
              </pic:pic>
            </a:graphicData>
          </a:graphic>
        </wp:anchor>
      </w:drawing>
    </w:r>
    <w:r>
      <w:rPr>
        <w:rFonts w:ascii="Elephant" w:hAnsi="Elephant" w:hint="eastAsia"/>
        <w:color w:val="000000" w:themeColor="text1"/>
        <w:sz w:val="24"/>
        <w:szCs w:val="24"/>
      </w:rPr>
      <w:t>QINGDAO</w:t>
    </w:r>
    <w:r>
      <w:rPr>
        <w:rFonts w:ascii="Elephant" w:hAnsi="Elephant"/>
        <w:color w:val="000000" w:themeColor="text1"/>
        <w:sz w:val="24"/>
        <w:szCs w:val="24"/>
      </w:rPr>
      <w:t xml:space="preserve"> JADE NEW MATERIAL </w:t>
    </w:r>
  </w:p>
  <w:p w:rsidR="00876F59" w:rsidRDefault="00567871">
    <w:pPr>
      <w:wordWrap w:val="0"/>
      <w:jc w:val="right"/>
      <w:rPr>
        <w:rFonts w:ascii="Elephant" w:hAnsi="Elephant"/>
        <w:color w:val="000000" w:themeColor="text1"/>
        <w:sz w:val="24"/>
        <w:szCs w:val="24"/>
      </w:rPr>
    </w:pPr>
    <w:r>
      <w:rPr>
        <w:rFonts w:ascii="Elephant" w:hAnsi="Elephant"/>
        <w:color w:val="000000" w:themeColor="text1"/>
        <w:sz w:val="24"/>
        <w:szCs w:val="24"/>
      </w:rPr>
      <w:t>TECHNOLOGY CO.,LTD</w:t>
    </w:r>
  </w:p>
  <w:p w:rsidR="00876F59" w:rsidRDefault="00567871">
    <w:pPr>
      <w:jc w:val="right"/>
      <w:rPr>
        <w:b/>
        <w:color w:val="000000" w:themeColor="text1"/>
        <w:sz w:val="30"/>
        <w:szCs w:val="30"/>
      </w:rPr>
    </w:pPr>
    <w:r>
      <w:rPr>
        <w:rFonts w:hint="eastAsia"/>
        <w:b/>
        <w:color w:val="000000" w:themeColor="text1"/>
        <w:sz w:val="30"/>
        <w:szCs w:val="30"/>
      </w:rPr>
      <w:t>青岛杰</w:t>
    </w:r>
    <w:r>
      <w:rPr>
        <w:b/>
        <w:color w:val="000000" w:themeColor="text1"/>
        <w:sz w:val="30"/>
        <w:szCs w:val="30"/>
      </w:rPr>
      <w:t>得佳新材料科技有限公司</w:t>
    </w:r>
  </w:p>
  <w:p w:rsidR="00876F59" w:rsidRDefault="00876F59">
    <w:pPr>
      <w:jc w:val="right"/>
      <w:rPr>
        <w:b/>
        <w:color w:val="000000" w:themeColor="text1"/>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7616"/>
    <w:rsid w:val="000002DC"/>
    <w:rsid w:val="00012F58"/>
    <w:rsid w:val="00020DF4"/>
    <w:rsid w:val="000633C7"/>
    <w:rsid w:val="000947FD"/>
    <w:rsid w:val="000C1CA9"/>
    <w:rsid w:val="000C6411"/>
    <w:rsid w:val="000D1117"/>
    <w:rsid w:val="000D7482"/>
    <w:rsid w:val="000E223D"/>
    <w:rsid w:val="00185E10"/>
    <w:rsid w:val="001D120C"/>
    <w:rsid w:val="001D7E9D"/>
    <w:rsid w:val="001E4B2B"/>
    <w:rsid w:val="00223693"/>
    <w:rsid w:val="0023105F"/>
    <w:rsid w:val="00250A0C"/>
    <w:rsid w:val="00282DB8"/>
    <w:rsid w:val="002A2785"/>
    <w:rsid w:val="002A5AB6"/>
    <w:rsid w:val="002B1FB3"/>
    <w:rsid w:val="002F3CF8"/>
    <w:rsid w:val="00360FBD"/>
    <w:rsid w:val="003614B8"/>
    <w:rsid w:val="0036171B"/>
    <w:rsid w:val="00364E39"/>
    <w:rsid w:val="003B0255"/>
    <w:rsid w:val="003C4170"/>
    <w:rsid w:val="003F392A"/>
    <w:rsid w:val="00416649"/>
    <w:rsid w:val="00421EDD"/>
    <w:rsid w:val="004313EB"/>
    <w:rsid w:val="00432344"/>
    <w:rsid w:val="00435DCD"/>
    <w:rsid w:val="00444152"/>
    <w:rsid w:val="00456C8F"/>
    <w:rsid w:val="004711CF"/>
    <w:rsid w:val="004C763A"/>
    <w:rsid w:val="004D4BEE"/>
    <w:rsid w:val="004E7EC0"/>
    <w:rsid w:val="0050646D"/>
    <w:rsid w:val="00532F58"/>
    <w:rsid w:val="00567871"/>
    <w:rsid w:val="0059368D"/>
    <w:rsid w:val="00596D19"/>
    <w:rsid w:val="005A1FC8"/>
    <w:rsid w:val="006236A9"/>
    <w:rsid w:val="00626F8A"/>
    <w:rsid w:val="0063176B"/>
    <w:rsid w:val="00640F47"/>
    <w:rsid w:val="0065021A"/>
    <w:rsid w:val="00665E57"/>
    <w:rsid w:val="0068158E"/>
    <w:rsid w:val="00683C7C"/>
    <w:rsid w:val="00696C7D"/>
    <w:rsid w:val="006C1540"/>
    <w:rsid w:val="006E34CA"/>
    <w:rsid w:val="006E6905"/>
    <w:rsid w:val="0074402B"/>
    <w:rsid w:val="00771F6B"/>
    <w:rsid w:val="007952DF"/>
    <w:rsid w:val="007B762A"/>
    <w:rsid w:val="007F3909"/>
    <w:rsid w:val="00855B7D"/>
    <w:rsid w:val="0086029B"/>
    <w:rsid w:val="00860912"/>
    <w:rsid w:val="00872A47"/>
    <w:rsid w:val="00876F59"/>
    <w:rsid w:val="008A212B"/>
    <w:rsid w:val="008D39EA"/>
    <w:rsid w:val="008E15BA"/>
    <w:rsid w:val="008F20C1"/>
    <w:rsid w:val="00915903"/>
    <w:rsid w:val="0092339D"/>
    <w:rsid w:val="00935DAA"/>
    <w:rsid w:val="0093603C"/>
    <w:rsid w:val="00971314"/>
    <w:rsid w:val="009758A2"/>
    <w:rsid w:val="009A2DA0"/>
    <w:rsid w:val="00A17616"/>
    <w:rsid w:val="00A20193"/>
    <w:rsid w:val="00A20FF0"/>
    <w:rsid w:val="00A35DDC"/>
    <w:rsid w:val="00A407DD"/>
    <w:rsid w:val="00A52E6F"/>
    <w:rsid w:val="00AA0ECC"/>
    <w:rsid w:val="00AC09E7"/>
    <w:rsid w:val="00AF3425"/>
    <w:rsid w:val="00B4738A"/>
    <w:rsid w:val="00B53AFD"/>
    <w:rsid w:val="00B9126F"/>
    <w:rsid w:val="00BC18BF"/>
    <w:rsid w:val="00BC4F1F"/>
    <w:rsid w:val="00BF15DC"/>
    <w:rsid w:val="00C068CC"/>
    <w:rsid w:val="00C13C75"/>
    <w:rsid w:val="00C57421"/>
    <w:rsid w:val="00C71C91"/>
    <w:rsid w:val="00C74BAF"/>
    <w:rsid w:val="00CA0ED8"/>
    <w:rsid w:val="00CB5586"/>
    <w:rsid w:val="00CC586C"/>
    <w:rsid w:val="00CC5F9A"/>
    <w:rsid w:val="00CD56DA"/>
    <w:rsid w:val="00D71AA5"/>
    <w:rsid w:val="00D745D6"/>
    <w:rsid w:val="00DA14E5"/>
    <w:rsid w:val="00DF0C0A"/>
    <w:rsid w:val="00E044FA"/>
    <w:rsid w:val="00E53412"/>
    <w:rsid w:val="00E57DC4"/>
    <w:rsid w:val="00E83BF0"/>
    <w:rsid w:val="00EF5652"/>
    <w:rsid w:val="00F44BD1"/>
    <w:rsid w:val="00FB18C1"/>
    <w:rsid w:val="00FD5515"/>
    <w:rsid w:val="00FE71C0"/>
    <w:rsid w:val="1EF24921"/>
    <w:rsid w:val="23907165"/>
    <w:rsid w:val="26C14FC5"/>
    <w:rsid w:val="3DA6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C2557-49E6-473B-8774-6178BC35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1500</Characters>
  <Application>Microsoft Office Word</Application>
  <DocSecurity>0</DocSecurity>
  <Lines>12</Lines>
  <Paragraphs>3</Paragraphs>
  <ScaleCrop>false</ScaleCrop>
  <Company>China</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44</cp:revision>
  <cp:lastPrinted>2020-04-02T02:56:00Z</cp:lastPrinted>
  <dcterms:created xsi:type="dcterms:W3CDTF">2015-12-17T15:56:00Z</dcterms:created>
  <dcterms:modified xsi:type="dcterms:W3CDTF">2020-11-11T01:37:00Z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